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-572" w:tblpY="-1045"/>
        <w:tblW w:w="15393" w:type="dxa"/>
        <w:tblLook w:val="04A0" w:firstRow="1" w:lastRow="0" w:firstColumn="1" w:lastColumn="0" w:noHBand="0" w:noVBand="1"/>
      </w:tblPr>
      <w:tblGrid>
        <w:gridCol w:w="2508"/>
        <w:gridCol w:w="1006"/>
        <w:gridCol w:w="984"/>
        <w:gridCol w:w="796"/>
        <w:gridCol w:w="828"/>
        <w:gridCol w:w="701"/>
        <w:gridCol w:w="1006"/>
        <w:gridCol w:w="984"/>
        <w:gridCol w:w="773"/>
        <w:gridCol w:w="828"/>
        <w:gridCol w:w="694"/>
        <w:gridCol w:w="1006"/>
        <w:gridCol w:w="984"/>
        <w:gridCol w:w="773"/>
        <w:gridCol w:w="828"/>
        <w:gridCol w:w="694"/>
      </w:tblGrid>
      <w:tr w:rsidR="00775B78" w:rsidRPr="008B3040" w14:paraId="20247DE4" w14:textId="77777777" w:rsidTr="00775B78">
        <w:trPr>
          <w:trHeight w:val="456"/>
        </w:trPr>
        <w:tc>
          <w:tcPr>
            <w:tcW w:w="2508" w:type="dxa"/>
          </w:tcPr>
          <w:p w14:paraId="3F7DFD7B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Preguntas</w:t>
            </w:r>
          </w:p>
        </w:tc>
        <w:tc>
          <w:tcPr>
            <w:tcW w:w="4315" w:type="dxa"/>
            <w:gridSpan w:val="5"/>
          </w:tcPr>
          <w:p w14:paraId="5F721DD1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DOCENTES</w:t>
            </w:r>
          </w:p>
        </w:tc>
        <w:tc>
          <w:tcPr>
            <w:tcW w:w="4285" w:type="dxa"/>
            <w:gridSpan w:val="5"/>
          </w:tcPr>
          <w:p w14:paraId="37EEB55D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ESTUDIANTES</w:t>
            </w:r>
          </w:p>
        </w:tc>
        <w:tc>
          <w:tcPr>
            <w:tcW w:w="4285" w:type="dxa"/>
            <w:gridSpan w:val="5"/>
          </w:tcPr>
          <w:p w14:paraId="5BB093D7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PADRES DE FAMILIA</w:t>
            </w:r>
          </w:p>
        </w:tc>
      </w:tr>
      <w:tr w:rsidR="00775B78" w:rsidRPr="008B3040" w14:paraId="6D0A2579" w14:textId="77777777" w:rsidTr="00775B78">
        <w:trPr>
          <w:trHeight w:val="456"/>
        </w:trPr>
        <w:tc>
          <w:tcPr>
            <w:tcW w:w="2508" w:type="dxa"/>
          </w:tcPr>
          <w:p w14:paraId="32FE650D" w14:textId="77777777" w:rsidR="00775B78" w:rsidRPr="00387188" w:rsidRDefault="00775B78" w:rsidP="00775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participantes: 131</w:t>
            </w:r>
          </w:p>
          <w:p w14:paraId="647779AA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14:paraId="568355B5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Siempre</w:t>
            </w:r>
          </w:p>
        </w:tc>
        <w:tc>
          <w:tcPr>
            <w:tcW w:w="984" w:type="dxa"/>
          </w:tcPr>
          <w:p w14:paraId="077BF0A0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Casi siempre</w:t>
            </w:r>
          </w:p>
        </w:tc>
        <w:tc>
          <w:tcPr>
            <w:tcW w:w="796" w:type="dxa"/>
          </w:tcPr>
          <w:p w14:paraId="38CAE4DF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A veces</w:t>
            </w:r>
          </w:p>
        </w:tc>
        <w:tc>
          <w:tcPr>
            <w:tcW w:w="828" w:type="dxa"/>
          </w:tcPr>
          <w:p w14:paraId="5ABB0212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 xml:space="preserve">Nunca </w:t>
            </w:r>
          </w:p>
        </w:tc>
        <w:tc>
          <w:tcPr>
            <w:tcW w:w="701" w:type="dxa"/>
          </w:tcPr>
          <w:p w14:paraId="534B5C2E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06" w:type="dxa"/>
          </w:tcPr>
          <w:p w14:paraId="0D1C4348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Siempre</w:t>
            </w:r>
          </w:p>
        </w:tc>
        <w:tc>
          <w:tcPr>
            <w:tcW w:w="984" w:type="dxa"/>
          </w:tcPr>
          <w:p w14:paraId="104DCA38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Casi siempre</w:t>
            </w:r>
          </w:p>
        </w:tc>
        <w:tc>
          <w:tcPr>
            <w:tcW w:w="773" w:type="dxa"/>
          </w:tcPr>
          <w:p w14:paraId="13538E81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A veces</w:t>
            </w:r>
          </w:p>
        </w:tc>
        <w:tc>
          <w:tcPr>
            <w:tcW w:w="828" w:type="dxa"/>
          </w:tcPr>
          <w:p w14:paraId="078E9B45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 xml:space="preserve">Nunca </w:t>
            </w:r>
          </w:p>
        </w:tc>
        <w:tc>
          <w:tcPr>
            <w:tcW w:w="694" w:type="dxa"/>
          </w:tcPr>
          <w:p w14:paraId="04E76695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06" w:type="dxa"/>
          </w:tcPr>
          <w:p w14:paraId="3C5724AA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Siempre</w:t>
            </w:r>
          </w:p>
        </w:tc>
        <w:tc>
          <w:tcPr>
            <w:tcW w:w="984" w:type="dxa"/>
          </w:tcPr>
          <w:p w14:paraId="762672FC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Casi siempre</w:t>
            </w:r>
          </w:p>
        </w:tc>
        <w:tc>
          <w:tcPr>
            <w:tcW w:w="773" w:type="dxa"/>
          </w:tcPr>
          <w:p w14:paraId="3C161699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A veces</w:t>
            </w:r>
          </w:p>
        </w:tc>
        <w:tc>
          <w:tcPr>
            <w:tcW w:w="828" w:type="dxa"/>
          </w:tcPr>
          <w:p w14:paraId="366DB889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 xml:space="preserve">Nunca </w:t>
            </w:r>
          </w:p>
        </w:tc>
        <w:tc>
          <w:tcPr>
            <w:tcW w:w="694" w:type="dxa"/>
          </w:tcPr>
          <w:p w14:paraId="2A4D2827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775B78" w:rsidRPr="008B3040" w14:paraId="7369C32E" w14:textId="77777777" w:rsidTr="00775B78">
        <w:trPr>
          <w:trHeight w:val="700"/>
        </w:trPr>
        <w:tc>
          <w:tcPr>
            <w:tcW w:w="2508" w:type="dxa"/>
          </w:tcPr>
          <w:p w14:paraId="394C93D6" w14:textId="77777777" w:rsidR="00775B78" w:rsidRPr="008B3040" w:rsidRDefault="00775B78" w:rsidP="00775B78">
            <w:pPr>
              <w:jc w:val="both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 xml:space="preserve">1.- ¿La institución educativa plantea estrategias de rendición de cuentas a los docentes, al personal </w:t>
            </w:r>
            <w:proofErr w:type="spellStart"/>
            <w:r w:rsidRPr="008B3040">
              <w:rPr>
                <w:rFonts w:cstheme="minorHAnsi"/>
                <w:sz w:val="18"/>
                <w:szCs w:val="18"/>
              </w:rPr>
              <w:t>DECE</w:t>
            </w:r>
            <w:proofErr w:type="spellEnd"/>
            <w:r w:rsidRPr="008B3040">
              <w:rPr>
                <w:rFonts w:cstheme="minorHAnsi"/>
                <w:sz w:val="18"/>
                <w:szCs w:val="18"/>
              </w:rPr>
              <w:t>, a las familias, a los estudiantes y a la comunidad local?</w:t>
            </w:r>
          </w:p>
        </w:tc>
        <w:tc>
          <w:tcPr>
            <w:tcW w:w="1006" w:type="dxa"/>
          </w:tcPr>
          <w:p w14:paraId="49D03C67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11</w:t>
            </w:r>
          </w:p>
          <w:p w14:paraId="54AA1615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1DF53A" w14:textId="77777777" w:rsidR="00775B78" w:rsidRPr="008B304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26%</w:t>
            </w:r>
          </w:p>
        </w:tc>
        <w:tc>
          <w:tcPr>
            <w:tcW w:w="984" w:type="dxa"/>
          </w:tcPr>
          <w:p w14:paraId="4455847E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11</w:t>
            </w:r>
          </w:p>
          <w:p w14:paraId="1FC8A81F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E678A3" w14:textId="77777777" w:rsidR="00775B78" w:rsidRPr="008B304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26%</w:t>
            </w:r>
          </w:p>
        </w:tc>
        <w:tc>
          <w:tcPr>
            <w:tcW w:w="796" w:type="dxa"/>
          </w:tcPr>
          <w:p w14:paraId="77AEFB13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20</w:t>
            </w:r>
          </w:p>
          <w:p w14:paraId="0EE2FD78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2297EC" w14:textId="77777777" w:rsidR="00775B78" w:rsidRPr="008B304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47%</w:t>
            </w:r>
          </w:p>
        </w:tc>
        <w:tc>
          <w:tcPr>
            <w:tcW w:w="828" w:type="dxa"/>
          </w:tcPr>
          <w:p w14:paraId="0B2AFC79" w14:textId="77777777" w:rsidR="00775B78" w:rsidRPr="008B304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</w:tcPr>
          <w:p w14:paraId="0B24693B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006" w:type="dxa"/>
          </w:tcPr>
          <w:p w14:paraId="0EE5A38D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4</w:t>
            </w:r>
          </w:p>
          <w:p w14:paraId="1AC004A8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7F6FDB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10%</w:t>
            </w:r>
          </w:p>
        </w:tc>
        <w:tc>
          <w:tcPr>
            <w:tcW w:w="984" w:type="dxa"/>
          </w:tcPr>
          <w:p w14:paraId="5AF301B1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9</w:t>
            </w:r>
          </w:p>
          <w:p w14:paraId="3794DB09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A3CC26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22.5%</w:t>
            </w:r>
          </w:p>
        </w:tc>
        <w:tc>
          <w:tcPr>
            <w:tcW w:w="773" w:type="dxa"/>
          </w:tcPr>
          <w:p w14:paraId="7ADBAC83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5</w:t>
            </w:r>
          </w:p>
          <w:p w14:paraId="58760E35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0BE165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12,5%</w:t>
            </w:r>
          </w:p>
        </w:tc>
        <w:tc>
          <w:tcPr>
            <w:tcW w:w="828" w:type="dxa"/>
          </w:tcPr>
          <w:p w14:paraId="16D2A6E0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22</w:t>
            </w:r>
          </w:p>
          <w:p w14:paraId="2A58A848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63CA1E2" w14:textId="77777777" w:rsidR="00775B78" w:rsidRPr="008B3040" w:rsidRDefault="00775B78" w:rsidP="00775B7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55%</w:t>
            </w:r>
          </w:p>
        </w:tc>
        <w:tc>
          <w:tcPr>
            <w:tcW w:w="694" w:type="dxa"/>
          </w:tcPr>
          <w:p w14:paraId="7F1B18C4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06" w:type="dxa"/>
          </w:tcPr>
          <w:p w14:paraId="4D9203D9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0</w:t>
            </w:r>
          </w:p>
          <w:p w14:paraId="75AA845B" w14:textId="77777777" w:rsidR="00775B78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9A47FCF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14:paraId="26C7FFA4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14:paraId="61A70F71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7</w:t>
            </w:r>
          </w:p>
          <w:p w14:paraId="61084C39" w14:textId="77777777" w:rsidR="00775B78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6610F4F" w14:textId="77777777" w:rsidR="00775B78" w:rsidRPr="00FD6009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6009">
              <w:rPr>
                <w:rFonts w:cstheme="minorHAnsi"/>
                <w:sz w:val="18"/>
                <w:szCs w:val="18"/>
              </w:rPr>
              <w:t>14.3%</w:t>
            </w:r>
          </w:p>
        </w:tc>
        <w:tc>
          <w:tcPr>
            <w:tcW w:w="828" w:type="dxa"/>
          </w:tcPr>
          <w:p w14:paraId="2495130E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42</w:t>
            </w:r>
          </w:p>
          <w:p w14:paraId="0608D343" w14:textId="77777777" w:rsidR="00775B78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9D5648" w14:textId="77777777" w:rsidR="00775B78" w:rsidRPr="00FD6009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6009">
              <w:rPr>
                <w:rFonts w:cstheme="minorHAnsi"/>
                <w:sz w:val="18"/>
                <w:szCs w:val="18"/>
              </w:rPr>
              <w:t>85.7%</w:t>
            </w:r>
          </w:p>
        </w:tc>
        <w:tc>
          <w:tcPr>
            <w:tcW w:w="694" w:type="dxa"/>
          </w:tcPr>
          <w:p w14:paraId="7E03D0AF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</w:tc>
      </w:tr>
      <w:tr w:rsidR="00775B78" w:rsidRPr="00FD6009" w14:paraId="39820E0A" w14:textId="77777777" w:rsidTr="00775B78">
        <w:trPr>
          <w:trHeight w:val="700"/>
        </w:trPr>
        <w:tc>
          <w:tcPr>
            <w:tcW w:w="2508" w:type="dxa"/>
          </w:tcPr>
          <w:p w14:paraId="3B71B46C" w14:textId="77777777" w:rsidR="00775B78" w:rsidRPr="00F26C7C" w:rsidRDefault="00775B78" w:rsidP="00775B7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26C7C">
              <w:rPr>
                <w:rFonts w:cstheme="minorHAnsi"/>
                <w:b/>
                <w:bCs/>
                <w:sz w:val="18"/>
                <w:szCs w:val="18"/>
              </w:rPr>
              <w:t>CONCLUSIONES</w:t>
            </w:r>
          </w:p>
        </w:tc>
        <w:tc>
          <w:tcPr>
            <w:tcW w:w="4315" w:type="dxa"/>
            <w:gridSpan w:val="5"/>
          </w:tcPr>
          <w:p w14:paraId="14235EB1" w14:textId="77777777" w:rsidR="00775B78" w:rsidRPr="00FD6009" w:rsidRDefault="00775B78" w:rsidP="00775B78">
            <w:pPr>
              <w:rPr>
                <w:rFonts w:cstheme="minorHAnsi"/>
                <w:sz w:val="18"/>
                <w:szCs w:val="18"/>
              </w:rPr>
            </w:pPr>
            <w:r w:rsidRPr="00FD6009">
              <w:rPr>
                <w:rFonts w:cstheme="minorHAnsi"/>
                <w:sz w:val="18"/>
                <w:szCs w:val="18"/>
              </w:rPr>
              <w:t xml:space="preserve">De un universo de 42 docentes, El 47% afirma que solo a veces La institución educativa plantea estrategias de rendición de cuentas. Por lo tanto, hay desconocimiento sobre esta temática. </w:t>
            </w:r>
          </w:p>
        </w:tc>
        <w:tc>
          <w:tcPr>
            <w:tcW w:w="4285" w:type="dxa"/>
            <w:gridSpan w:val="5"/>
          </w:tcPr>
          <w:p w14:paraId="2BF45C68" w14:textId="77777777" w:rsidR="00775B78" w:rsidRPr="00FD6009" w:rsidRDefault="00775B78" w:rsidP="00775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Según los resultados obtenidos, el 55% de estudiantes indican que nunca se ha efectuado rendición de cuentas en la institución. </w:t>
            </w:r>
          </w:p>
        </w:tc>
        <w:tc>
          <w:tcPr>
            <w:tcW w:w="4285" w:type="dxa"/>
            <w:gridSpan w:val="5"/>
          </w:tcPr>
          <w:p w14:paraId="5889CCC9" w14:textId="77777777" w:rsidR="00775B78" w:rsidRPr="00FD6009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6009">
              <w:rPr>
                <w:rFonts w:cstheme="minorHAnsi"/>
                <w:sz w:val="18"/>
                <w:szCs w:val="18"/>
              </w:rPr>
              <w:t>Según los resultados obtenidos, el 85.7% de los padres de familia afirman que nunca se ha efectuado una rendición de cuentas en la institución, por lo tanto, al igual que los grupos a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FD6009">
              <w:rPr>
                <w:rFonts w:cstheme="minorHAnsi"/>
                <w:sz w:val="18"/>
                <w:szCs w:val="18"/>
              </w:rPr>
              <w:t>teriores, el porcentaje m</w:t>
            </w:r>
            <w:r>
              <w:rPr>
                <w:rFonts w:cstheme="minorHAnsi"/>
                <w:sz w:val="18"/>
                <w:szCs w:val="18"/>
              </w:rPr>
              <w:t>á</w:t>
            </w:r>
            <w:r w:rsidRPr="00FD6009">
              <w:rPr>
                <w:rFonts w:cstheme="minorHAnsi"/>
                <w:sz w:val="18"/>
                <w:szCs w:val="18"/>
              </w:rPr>
              <w:t>s alto indica que existe desconocimiento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75B78" w:rsidRPr="008B3040" w14:paraId="6F490C30" w14:textId="77777777" w:rsidTr="00775B78">
        <w:trPr>
          <w:trHeight w:val="700"/>
        </w:trPr>
        <w:tc>
          <w:tcPr>
            <w:tcW w:w="2508" w:type="dxa"/>
          </w:tcPr>
          <w:p w14:paraId="4D61795D" w14:textId="77777777" w:rsidR="00775B78" w:rsidRPr="00F26C7C" w:rsidRDefault="00775B78" w:rsidP="00775B7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26C7C">
              <w:rPr>
                <w:rFonts w:cstheme="minorHAnsi"/>
                <w:b/>
                <w:bCs/>
                <w:sz w:val="18"/>
                <w:szCs w:val="18"/>
              </w:rPr>
              <w:t>RECOMENDACIONES</w:t>
            </w:r>
          </w:p>
        </w:tc>
        <w:tc>
          <w:tcPr>
            <w:tcW w:w="4315" w:type="dxa"/>
            <w:gridSpan w:val="5"/>
          </w:tcPr>
          <w:p w14:paraId="2F79B58F" w14:textId="77777777" w:rsidR="00775B78" w:rsidRPr="00FD6009" w:rsidRDefault="00775B78" w:rsidP="00775B78">
            <w:pPr>
              <w:rPr>
                <w:rFonts w:cstheme="minorHAnsi"/>
                <w:sz w:val="18"/>
                <w:szCs w:val="18"/>
              </w:rPr>
            </w:pPr>
            <w:r w:rsidRPr="00FD6009">
              <w:rPr>
                <w:rFonts w:cstheme="minorHAnsi"/>
                <w:sz w:val="18"/>
                <w:szCs w:val="18"/>
              </w:rPr>
              <w:t xml:space="preserve">Que una de las estrategias de rendición de cuentas sea dar a conocer a los docentes en las juntas generales al inicio o al final del año lectivo, para que así todos se mantengan informados. </w:t>
            </w:r>
          </w:p>
        </w:tc>
        <w:tc>
          <w:tcPr>
            <w:tcW w:w="4285" w:type="dxa"/>
            <w:gridSpan w:val="5"/>
          </w:tcPr>
          <w:p w14:paraId="6B370171" w14:textId="77777777" w:rsidR="00775B78" w:rsidRPr="00FD6009" w:rsidRDefault="00775B78" w:rsidP="00775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Realizar la rendición de cuentas al inicio del año lectivo en el programa de inauguración.  </w:t>
            </w:r>
          </w:p>
        </w:tc>
        <w:tc>
          <w:tcPr>
            <w:tcW w:w="4285" w:type="dxa"/>
            <w:gridSpan w:val="5"/>
          </w:tcPr>
          <w:p w14:paraId="383F4BBB" w14:textId="77777777" w:rsidR="00775B78" w:rsidRPr="008B3040" w:rsidRDefault="00775B78" w:rsidP="00775B7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Realizar la rendición de cuentas al inicio del año lectivo en el programa de inauguración.  </w:t>
            </w:r>
          </w:p>
        </w:tc>
      </w:tr>
      <w:tr w:rsidR="00775B78" w:rsidRPr="00FD6009" w14:paraId="15EF92ED" w14:textId="77777777" w:rsidTr="00775B78">
        <w:trPr>
          <w:trHeight w:val="700"/>
        </w:trPr>
        <w:tc>
          <w:tcPr>
            <w:tcW w:w="2508" w:type="dxa"/>
          </w:tcPr>
          <w:p w14:paraId="606583AC" w14:textId="77777777" w:rsidR="00775B78" w:rsidRPr="00F26C7C" w:rsidRDefault="00775B78" w:rsidP="00775B7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PROPUESTA </w:t>
            </w:r>
          </w:p>
        </w:tc>
        <w:tc>
          <w:tcPr>
            <w:tcW w:w="12885" w:type="dxa"/>
            <w:gridSpan w:val="15"/>
          </w:tcPr>
          <w:p w14:paraId="31794F9A" w14:textId="77777777" w:rsidR="00775B78" w:rsidRPr="00FD6009" w:rsidRDefault="00775B78" w:rsidP="00775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Inclusión de actividades en el cronograma escolar de cada año lectivo la rendición de cuentas para padres de familia, estudiantes y docentes. </w:t>
            </w:r>
          </w:p>
        </w:tc>
      </w:tr>
      <w:tr w:rsidR="00775B78" w:rsidRPr="008B3040" w14:paraId="7FCA34DE" w14:textId="77777777" w:rsidTr="00775B78">
        <w:trPr>
          <w:trHeight w:val="456"/>
        </w:trPr>
        <w:tc>
          <w:tcPr>
            <w:tcW w:w="2508" w:type="dxa"/>
          </w:tcPr>
          <w:p w14:paraId="22E4489E" w14:textId="77777777" w:rsidR="00775B78" w:rsidRPr="008B3040" w:rsidRDefault="00775B78" w:rsidP="00775B78">
            <w:pPr>
              <w:jc w:val="both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2.- ¿La institución planifica la implementación de estrategias para la convivencia armónica y el bienestar de la comunidad?</w:t>
            </w:r>
          </w:p>
        </w:tc>
        <w:tc>
          <w:tcPr>
            <w:tcW w:w="1006" w:type="dxa"/>
          </w:tcPr>
          <w:p w14:paraId="2AC2A9EB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16</w:t>
            </w:r>
          </w:p>
          <w:p w14:paraId="08FD7205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0BCE87" w14:textId="77777777" w:rsidR="00775B78" w:rsidRPr="008B304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38.1% </w:t>
            </w:r>
          </w:p>
        </w:tc>
        <w:tc>
          <w:tcPr>
            <w:tcW w:w="984" w:type="dxa"/>
          </w:tcPr>
          <w:p w14:paraId="25FF1166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11</w:t>
            </w:r>
          </w:p>
          <w:p w14:paraId="454B2F60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654DFD" w14:textId="77777777" w:rsidR="00775B78" w:rsidRPr="008B304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26.2%</w:t>
            </w:r>
          </w:p>
        </w:tc>
        <w:tc>
          <w:tcPr>
            <w:tcW w:w="796" w:type="dxa"/>
          </w:tcPr>
          <w:p w14:paraId="796DD420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5</w:t>
            </w:r>
          </w:p>
          <w:p w14:paraId="056FBB27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6B6D75" w14:textId="77777777" w:rsidR="00775B78" w:rsidRPr="008B304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11.9%</w:t>
            </w:r>
          </w:p>
        </w:tc>
        <w:tc>
          <w:tcPr>
            <w:tcW w:w="828" w:type="dxa"/>
          </w:tcPr>
          <w:p w14:paraId="7652F45F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10</w:t>
            </w:r>
          </w:p>
          <w:p w14:paraId="6775DCAA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9F6536" w14:textId="77777777" w:rsidR="00775B78" w:rsidRPr="008B304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23.8% </w:t>
            </w:r>
          </w:p>
        </w:tc>
        <w:tc>
          <w:tcPr>
            <w:tcW w:w="701" w:type="dxa"/>
          </w:tcPr>
          <w:p w14:paraId="10FAA156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006" w:type="dxa"/>
          </w:tcPr>
          <w:p w14:paraId="7A0C161D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14</w:t>
            </w:r>
          </w:p>
          <w:p w14:paraId="3CB94761" w14:textId="77777777" w:rsidR="00775B78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AF41CFF" w14:textId="77777777" w:rsidR="00775B78" w:rsidRPr="00236DD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DD0">
              <w:rPr>
                <w:rFonts w:cstheme="minorHAnsi"/>
                <w:sz w:val="18"/>
                <w:szCs w:val="18"/>
              </w:rPr>
              <w:t>35%</w:t>
            </w:r>
          </w:p>
        </w:tc>
        <w:tc>
          <w:tcPr>
            <w:tcW w:w="984" w:type="dxa"/>
          </w:tcPr>
          <w:p w14:paraId="7209246C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4</w:t>
            </w:r>
          </w:p>
          <w:p w14:paraId="63C72F81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7653D5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4%</w:t>
            </w:r>
          </w:p>
        </w:tc>
        <w:tc>
          <w:tcPr>
            <w:tcW w:w="773" w:type="dxa"/>
          </w:tcPr>
          <w:p w14:paraId="357B08C4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22</w:t>
            </w:r>
          </w:p>
          <w:p w14:paraId="4C0C20BE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50F530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55%</w:t>
            </w:r>
          </w:p>
        </w:tc>
        <w:tc>
          <w:tcPr>
            <w:tcW w:w="828" w:type="dxa"/>
          </w:tcPr>
          <w:p w14:paraId="24DAF5F3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7F1A3800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06" w:type="dxa"/>
          </w:tcPr>
          <w:p w14:paraId="2BE35834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14</w:t>
            </w:r>
          </w:p>
          <w:p w14:paraId="4BBB94A3" w14:textId="77777777" w:rsidR="00775B78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421192" w14:textId="77777777" w:rsidR="00775B78" w:rsidRPr="00236DD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DD0">
              <w:rPr>
                <w:rFonts w:cstheme="minorHAnsi"/>
                <w:sz w:val="18"/>
                <w:szCs w:val="18"/>
              </w:rPr>
              <w:t>28.6%</w:t>
            </w:r>
          </w:p>
        </w:tc>
        <w:tc>
          <w:tcPr>
            <w:tcW w:w="984" w:type="dxa"/>
          </w:tcPr>
          <w:p w14:paraId="5FA8FE81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14:paraId="71388D6D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28</w:t>
            </w:r>
          </w:p>
          <w:p w14:paraId="21968463" w14:textId="77777777" w:rsidR="00775B78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61921F" w14:textId="77777777" w:rsidR="00775B78" w:rsidRPr="00236DD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DD0">
              <w:rPr>
                <w:rFonts w:cstheme="minorHAnsi"/>
                <w:sz w:val="18"/>
                <w:szCs w:val="18"/>
              </w:rPr>
              <w:t>57.1</w:t>
            </w:r>
          </w:p>
        </w:tc>
        <w:tc>
          <w:tcPr>
            <w:tcW w:w="828" w:type="dxa"/>
          </w:tcPr>
          <w:p w14:paraId="082F8608" w14:textId="77777777" w:rsidR="00775B78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3040">
              <w:rPr>
                <w:rFonts w:cstheme="minorHAnsi"/>
                <w:sz w:val="18"/>
                <w:szCs w:val="18"/>
              </w:rPr>
              <w:t>7</w:t>
            </w:r>
          </w:p>
          <w:p w14:paraId="2235A16C" w14:textId="77777777" w:rsidR="00775B78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7E6EC4" w14:textId="77777777" w:rsidR="00775B78" w:rsidRPr="00236DD0" w:rsidRDefault="00775B78" w:rsidP="00775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DD0">
              <w:rPr>
                <w:rFonts w:cstheme="minorHAnsi"/>
                <w:sz w:val="18"/>
                <w:szCs w:val="18"/>
              </w:rPr>
              <w:t xml:space="preserve">14.3 </w:t>
            </w:r>
          </w:p>
        </w:tc>
        <w:tc>
          <w:tcPr>
            <w:tcW w:w="694" w:type="dxa"/>
          </w:tcPr>
          <w:p w14:paraId="536C60CB" w14:textId="77777777" w:rsidR="00775B78" w:rsidRPr="008B3040" w:rsidRDefault="00775B78" w:rsidP="00775B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3040"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</w:tc>
      </w:tr>
      <w:tr w:rsidR="00775B78" w:rsidRPr="00236DD0" w14:paraId="7924DA30" w14:textId="77777777" w:rsidTr="00775B78">
        <w:trPr>
          <w:trHeight w:val="456"/>
        </w:trPr>
        <w:tc>
          <w:tcPr>
            <w:tcW w:w="2508" w:type="dxa"/>
          </w:tcPr>
          <w:p w14:paraId="0B5B22C9" w14:textId="77777777" w:rsidR="00775B78" w:rsidRPr="008B3040" w:rsidRDefault="00775B78" w:rsidP="00775B78">
            <w:pPr>
              <w:jc w:val="both"/>
              <w:rPr>
                <w:rFonts w:cstheme="minorHAnsi"/>
                <w:sz w:val="18"/>
                <w:szCs w:val="18"/>
              </w:rPr>
            </w:pPr>
            <w:r w:rsidRPr="00F26C7C">
              <w:rPr>
                <w:rFonts w:cstheme="minorHAnsi"/>
                <w:b/>
                <w:bCs/>
                <w:sz w:val="18"/>
                <w:szCs w:val="18"/>
              </w:rPr>
              <w:t>CONCLUSIONES</w:t>
            </w:r>
          </w:p>
        </w:tc>
        <w:tc>
          <w:tcPr>
            <w:tcW w:w="4315" w:type="dxa"/>
            <w:gridSpan w:val="5"/>
          </w:tcPr>
          <w:p w14:paraId="42522F7E" w14:textId="77777777" w:rsidR="00775B78" w:rsidRPr="00236DD0" w:rsidRDefault="00775B78" w:rsidP="00775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38% de docentes indica que en el plantel siempre se planifica la implementación </w:t>
            </w:r>
            <w:r w:rsidRPr="008B3040">
              <w:rPr>
                <w:rFonts w:cstheme="minorHAnsi"/>
                <w:sz w:val="18"/>
                <w:szCs w:val="18"/>
              </w:rPr>
              <w:t>de estrategias para la convivencia armónica y el bienestar de la comunidad</w:t>
            </w:r>
            <w:r>
              <w:rPr>
                <w:rFonts w:cstheme="minorHAnsi"/>
                <w:sz w:val="18"/>
                <w:szCs w:val="18"/>
              </w:rPr>
              <w:t xml:space="preserve">, es decir, la mayoría de </w:t>
            </w:r>
            <w:proofErr w:type="gramStart"/>
            <w:r>
              <w:rPr>
                <w:rFonts w:cstheme="minorHAnsi"/>
                <w:sz w:val="18"/>
                <w:szCs w:val="18"/>
              </w:rPr>
              <w:t>docentes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indica que si se planifica, sin embargo un grupo reducido de 23.8% manifiesta lo contrario. </w:t>
            </w:r>
          </w:p>
        </w:tc>
        <w:tc>
          <w:tcPr>
            <w:tcW w:w="4285" w:type="dxa"/>
            <w:gridSpan w:val="5"/>
          </w:tcPr>
          <w:p w14:paraId="65F4D0A2" w14:textId="77777777" w:rsidR="00775B78" w:rsidRPr="00236DD0" w:rsidRDefault="00775B78" w:rsidP="00775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porcentaje más alto de las respuestas es el 55% de estudiantes, que indican que nunca se </w:t>
            </w:r>
            <w:r w:rsidRPr="008B3040">
              <w:rPr>
                <w:rFonts w:cstheme="minorHAnsi"/>
                <w:sz w:val="18"/>
                <w:szCs w:val="18"/>
              </w:rPr>
              <w:t>institución planifica la implementación de estrategias para la convivencia armónica y el bienestar de la comunidad</w:t>
            </w:r>
          </w:p>
        </w:tc>
        <w:tc>
          <w:tcPr>
            <w:tcW w:w="4285" w:type="dxa"/>
            <w:gridSpan w:val="5"/>
          </w:tcPr>
          <w:p w14:paraId="7BF4CB36" w14:textId="77777777" w:rsidR="00775B78" w:rsidRPr="00236DD0" w:rsidRDefault="00775B78" w:rsidP="00775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El porcentaje más alto, es el 57.1% de padres de familia que indican que solo a veces se aplican estrategias para la convivencia armónica en la institución. </w:t>
            </w:r>
          </w:p>
        </w:tc>
      </w:tr>
      <w:tr w:rsidR="00775B78" w:rsidRPr="008B3040" w14:paraId="243B207D" w14:textId="77777777" w:rsidTr="00775B78">
        <w:trPr>
          <w:trHeight w:val="456"/>
        </w:trPr>
        <w:tc>
          <w:tcPr>
            <w:tcW w:w="2508" w:type="dxa"/>
          </w:tcPr>
          <w:p w14:paraId="15D36225" w14:textId="77777777" w:rsidR="00775B78" w:rsidRPr="008B3040" w:rsidRDefault="00775B78" w:rsidP="00775B78">
            <w:pPr>
              <w:jc w:val="both"/>
              <w:rPr>
                <w:rFonts w:cstheme="minorHAnsi"/>
                <w:sz w:val="18"/>
                <w:szCs w:val="18"/>
              </w:rPr>
            </w:pPr>
            <w:r w:rsidRPr="00F26C7C">
              <w:rPr>
                <w:rFonts w:cstheme="minorHAnsi"/>
                <w:b/>
                <w:bCs/>
                <w:sz w:val="18"/>
                <w:szCs w:val="18"/>
              </w:rPr>
              <w:t>RECOMENDACIONES</w:t>
            </w:r>
          </w:p>
        </w:tc>
        <w:tc>
          <w:tcPr>
            <w:tcW w:w="4315" w:type="dxa"/>
            <w:gridSpan w:val="5"/>
          </w:tcPr>
          <w:p w14:paraId="6968DEE9" w14:textId="77777777" w:rsidR="00775B78" w:rsidRPr="00236DD0" w:rsidRDefault="00775B78" w:rsidP="00775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Implementar y dar a conocer nuevas estrategias para la convivencia armónica y el bienestar de la comunidad. </w:t>
            </w:r>
          </w:p>
        </w:tc>
        <w:tc>
          <w:tcPr>
            <w:tcW w:w="4285" w:type="dxa"/>
            <w:gridSpan w:val="5"/>
          </w:tcPr>
          <w:p w14:paraId="773C76B2" w14:textId="77777777" w:rsidR="00775B78" w:rsidRPr="00236DD0" w:rsidRDefault="00775B78" w:rsidP="00775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Aplicar estrategias para la convivencia armónica y el bienestar estudiantil en toda la comunidad educativa. </w:t>
            </w:r>
          </w:p>
        </w:tc>
        <w:tc>
          <w:tcPr>
            <w:tcW w:w="4285" w:type="dxa"/>
            <w:gridSpan w:val="5"/>
          </w:tcPr>
          <w:p w14:paraId="65A273A3" w14:textId="77777777" w:rsidR="00775B78" w:rsidRPr="008B3040" w:rsidRDefault="00775B78" w:rsidP="00775B7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Sigue prevaleciendo el porcentaje más alto en la opción de “a veces”, es decir los resultados indican que se deben mejorar las estrategias para la convivencia armónica y el bienestar de la comunidad. </w:t>
            </w:r>
          </w:p>
        </w:tc>
      </w:tr>
      <w:tr w:rsidR="00775B78" w:rsidRPr="00516B4C" w14:paraId="09301D72" w14:textId="77777777" w:rsidTr="00775B78">
        <w:trPr>
          <w:trHeight w:val="456"/>
        </w:trPr>
        <w:tc>
          <w:tcPr>
            <w:tcW w:w="2508" w:type="dxa"/>
          </w:tcPr>
          <w:p w14:paraId="0B5A20F2" w14:textId="77777777" w:rsidR="00775B78" w:rsidRPr="00F26C7C" w:rsidRDefault="00775B78" w:rsidP="00775B7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PROPUESTA </w:t>
            </w:r>
          </w:p>
        </w:tc>
        <w:tc>
          <w:tcPr>
            <w:tcW w:w="12885" w:type="dxa"/>
            <w:gridSpan w:val="15"/>
          </w:tcPr>
          <w:p w14:paraId="1BAEACF9" w14:textId="77777777" w:rsidR="00775B78" w:rsidRDefault="00775B78" w:rsidP="00775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Planificación de actividades de integración institucional para toda la comunidad educativa; aprovechando los espacios institucionales. </w:t>
            </w:r>
          </w:p>
          <w:p w14:paraId="172E83C2" w14:textId="77777777" w:rsidR="00775B78" w:rsidRDefault="00775B78" w:rsidP="00775B78">
            <w:pPr>
              <w:rPr>
                <w:rFonts w:cstheme="minorHAnsi"/>
                <w:sz w:val="18"/>
                <w:szCs w:val="18"/>
              </w:rPr>
            </w:pPr>
          </w:p>
          <w:p w14:paraId="6E815EE6" w14:textId="77777777" w:rsidR="00775B78" w:rsidRDefault="00775B78" w:rsidP="00775B78">
            <w:pPr>
              <w:rPr>
                <w:rFonts w:cstheme="minorHAnsi"/>
                <w:sz w:val="18"/>
                <w:szCs w:val="18"/>
              </w:rPr>
            </w:pPr>
          </w:p>
          <w:p w14:paraId="74228AF2" w14:textId="77777777" w:rsidR="00775B78" w:rsidRDefault="00775B78" w:rsidP="00775B78">
            <w:pPr>
              <w:rPr>
                <w:rFonts w:cstheme="minorHAnsi"/>
                <w:sz w:val="18"/>
                <w:szCs w:val="18"/>
              </w:rPr>
            </w:pPr>
          </w:p>
          <w:p w14:paraId="6C396D9B" w14:textId="77777777" w:rsidR="00775B78" w:rsidRDefault="00775B78" w:rsidP="00775B78">
            <w:pPr>
              <w:rPr>
                <w:rFonts w:cstheme="minorHAnsi"/>
                <w:sz w:val="18"/>
                <w:szCs w:val="18"/>
              </w:rPr>
            </w:pPr>
          </w:p>
          <w:p w14:paraId="722ED1B6" w14:textId="77777777" w:rsidR="00775B78" w:rsidRPr="00516B4C" w:rsidRDefault="00775B78" w:rsidP="00775B7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1F14673" w14:textId="77777777" w:rsidR="00276845" w:rsidRDefault="00276845"/>
    <w:sectPr w:rsidR="00276845" w:rsidSect="00775B78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45"/>
    <w:rsid w:val="00276845"/>
    <w:rsid w:val="007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F2E18-AFD9-489D-8D85-B1249340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7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5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Lorgia Patricia Cordero Daul</dc:creator>
  <cp:keywords/>
  <dc:description/>
  <cp:lastModifiedBy>Lorgia Patricia Cordero Daul</cp:lastModifiedBy>
  <cp:revision>2</cp:revision>
  <dcterms:created xsi:type="dcterms:W3CDTF">2023-06-08T11:44:00Z</dcterms:created>
  <dcterms:modified xsi:type="dcterms:W3CDTF">2023-06-08T11:46:00Z</dcterms:modified>
</cp:coreProperties>
</file>